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FE" w:rsidRPr="00F26252" w:rsidRDefault="005046FE" w:rsidP="005046FE">
      <w:pPr>
        <w:tabs>
          <w:tab w:val="right" w:pos="6946"/>
          <w:tab w:val="right" w:leader="dot" w:pos="9072"/>
        </w:tabs>
        <w:jc w:val="right"/>
        <w:rPr>
          <w:rFonts w:asciiTheme="minorHAnsi" w:hAnsiTheme="minorHAnsi" w:cstheme="minorHAnsi"/>
          <w:b/>
        </w:rPr>
      </w:pPr>
      <w:r w:rsidRPr="00F26252">
        <w:rPr>
          <w:rFonts w:asciiTheme="minorHAnsi" w:hAnsiTheme="minorHAnsi" w:cstheme="minorHAnsi"/>
          <w:b/>
        </w:rPr>
        <w:t>Załącznik nr 2.5 Deklaracja współpracy z Wykonawcą</w:t>
      </w:r>
      <w:r w:rsidR="00AF7531" w:rsidRPr="00F26252">
        <w:rPr>
          <w:rFonts w:asciiTheme="minorHAnsi" w:hAnsiTheme="minorHAnsi" w:cstheme="minorHAnsi"/>
          <w:b/>
        </w:rPr>
        <w:t xml:space="preserve"> – </w:t>
      </w:r>
      <w:proofErr w:type="spellStart"/>
      <w:r w:rsidR="00AF7531" w:rsidRPr="00F26252">
        <w:rPr>
          <w:rFonts w:asciiTheme="minorHAnsi" w:hAnsiTheme="minorHAnsi" w:cstheme="minorHAnsi"/>
          <w:b/>
        </w:rPr>
        <w:t>wer</w:t>
      </w:r>
      <w:proofErr w:type="spellEnd"/>
      <w:r w:rsidR="00AF7531" w:rsidRPr="00F26252">
        <w:rPr>
          <w:rFonts w:asciiTheme="minorHAnsi" w:hAnsiTheme="minorHAnsi" w:cstheme="minorHAnsi"/>
          <w:b/>
        </w:rPr>
        <w:t xml:space="preserve">. 2 </w:t>
      </w:r>
    </w:p>
    <w:p w:rsidR="005046FE" w:rsidRPr="00F26252" w:rsidRDefault="005046FE" w:rsidP="005046FE">
      <w:pPr>
        <w:tabs>
          <w:tab w:val="right" w:pos="6946"/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26252">
        <w:rPr>
          <w:rFonts w:asciiTheme="minorHAnsi" w:hAnsiTheme="minorHAnsi" w:cstheme="minorHAnsi"/>
        </w:rPr>
        <w:tab/>
      </w:r>
    </w:p>
    <w:p w:rsidR="005046FE" w:rsidRPr="00F26252" w:rsidRDefault="005046FE" w:rsidP="005046FE">
      <w:pPr>
        <w:tabs>
          <w:tab w:val="right" w:pos="6946"/>
          <w:tab w:val="right" w:leader="dot" w:pos="9072"/>
        </w:tabs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tabs>
          <w:tab w:val="right" w:pos="6946"/>
          <w:tab w:val="right" w:leader="dot" w:pos="9072"/>
        </w:tabs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tabs>
          <w:tab w:val="right" w:pos="6946"/>
          <w:tab w:val="right" w:leader="dot" w:pos="9072"/>
        </w:tabs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ind w:left="6946"/>
        <w:jc w:val="center"/>
        <w:rPr>
          <w:rFonts w:asciiTheme="minorHAnsi" w:hAnsiTheme="minorHAnsi" w:cstheme="minorHAnsi"/>
          <w:i/>
          <w:vertAlign w:val="superscript"/>
        </w:rPr>
      </w:pPr>
      <w:r w:rsidRPr="00F26252">
        <w:rPr>
          <w:rFonts w:asciiTheme="minorHAnsi" w:hAnsiTheme="minorHAnsi" w:cstheme="minorHAnsi"/>
          <w:i/>
          <w:vertAlign w:val="superscript"/>
        </w:rPr>
        <w:t>(miejscowość i data)</w:t>
      </w:r>
      <w:r w:rsidRPr="00F26252">
        <w:rPr>
          <w:rFonts w:asciiTheme="minorHAnsi" w:hAnsiTheme="minorHAnsi" w:cstheme="minorHAnsi"/>
          <w:i/>
          <w:vertAlign w:val="superscript"/>
        </w:rPr>
        <w:br/>
      </w:r>
    </w:p>
    <w:p w:rsidR="005046FE" w:rsidRPr="00F26252" w:rsidRDefault="005046FE" w:rsidP="005046FE">
      <w:pPr>
        <w:rPr>
          <w:rFonts w:asciiTheme="minorHAnsi" w:hAnsiTheme="minorHAnsi" w:cstheme="minorHAnsi"/>
        </w:rPr>
      </w:pPr>
    </w:p>
    <w:p w:rsidR="005046FE" w:rsidRPr="00F26252" w:rsidRDefault="005046FE" w:rsidP="005046FE">
      <w:pPr>
        <w:tabs>
          <w:tab w:val="right" w:leader="dot" w:pos="9639"/>
        </w:tabs>
        <w:rPr>
          <w:rFonts w:asciiTheme="minorHAnsi" w:hAnsiTheme="minorHAnsi" w:cstheme="minorHAnsi"/>
        </w:rPr>
      </w:pPr>
      <w:r w:rsidRPr="00F26252">
        <w:rPr>
          <w:rFonts w:asciiTheme="minorHAnsi" w:hAnsiTheme="minorHAnsi" w:cstheme="minorHAnsi"/>
        </w:rPr>
        <w:t xml:space="preserve">W związku ze złożeniem przez firmę </w:t>
      </w:r>
      <w:r w:rsidRPr="00F26252">
        <w:rPr>
          <w:rFonts w:asciiTheme="minorHAnsi" w:hAnsiTheme="minorHAnsi" w:cstheme="minorHAnsi"/>
        </w:rPr>
        <w:tab/>
      </w:r>
    </w:p>
    <w:p w:rsidR="005046FE" w:rsidRPr="00F26252" w:rsidRDefault="005046FE" w:rsidP="005046FE">
      <w:pPr>
        <w:tabs>
          <w:tab w:val="center" w:pos="5954"/>
        </w:tabs>
        <w:jc w:val="both"/>
        <w:rPr>
          <w:rFonts w:asciiTheme="minorHAnsi" w:hAnsiTheme="minorHAnsi" w:cstheme="minorHAnsi"/>
          <w:vertAlign w:val="superscript"/>
        </w:rPr>
      </w:pPr>
      <w:r w:rsidRPr="00F26252">
        <w:rPr>
          <w:rFonts w:asciiTheme="minorHAnsi" w:hAnsiTheme="minorHAnsi" w:cstheme="minorHAnsi"/>
          <w:vertAlign w:val="superscript"/>
        </w:rPr>
        <w:tab/>
        <w:t>(pełna nazwa Wnioskodawcy)</w:t>
      </w:r>
    </w:p>
    <w:p w:rsidR="005046FE" w:rsidRPr="00F26252" w:rsidRDefault="005046FE" w:rsidP="005046FE">
      <w:pPr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tabs>
          <w:tab w:val="right" w:leader="dot" w:pos="9639"/>
        </w:tabs>
        <w:rPr>
          <w:rFonts w:asciiTheme="minorHAnsi" w:hAnsiTheme="minorHAnsi" w:cstheme="minorHAnsi"/>
        </w:rPr>
      </w:pPr>
      <w:r w:rsidRPr="00F26252">
        <w:rPr>
          <w:rFonts w:asciiTheme="minorHAnsi" w:hAnsiTheme="minorHAnsi" w:cstheme="minorHAnsi"/>
        </w:rPr>
        <w:t>Wniosku o grant pt.:</w:t>
      </w:r>
      <w:r w:rsidRPr="00F26252">
        <w:rPr>
          <w:rFonts w:asciiTheme="minorHAnsi" w:hAnsiTheme="minorHAnsi" w:cstheme="minorHAnsi"/>
        </w:rPr>
        <w:tab/>
      </w:r>
    </w:p>
    <w:p w:rsidR="005046FE" w:rsidRPr="00F26252" w:rsidRDefault="005046FE" w:rsidP="005046FE">
      <w:pPr>
        <w:tabs>
          <w:tab w:val="left" w:pos="5670"/>
        </w:tabs>
        <w:ind w:left="5387" w:firstLine="708"/>
        <w:jc w:val="both"/>
        <w:rPr>
          <w:rFonts w:asciiTheme="minorHAnsi" w:hAnsiTheme="minorHAnsi" w:cstheme="minorHAnsi"/>
          <w:vertAlign w:val="superscript"/>
        </w:rPr>
      </w:pPr>
      <w:r w:rsidRPr="00F26252">
        <w:rPr>
          <w:rFonts w:asciiTheme="minorHAnsi" w:hAnsiTheme="minorHAnsi" w:cstheme="minorHAnsi"/>
          <w:vertAlign w:val="superscript"/>
        </w:rPr>
        <w:t>(tytuł Usługi)</w:t>
      </w:r>
    </w:p>
    <w:p w:rsidR="005046FE" w:rsidRPr="00F26252" w:rsidRDefault="005046FE" w:rsidP="005046FE">
      <w:pPr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jc w:val="both"/>
        <w:rPr>
          <w:rFonts w:asciiTheme="minorHAnsi" w:hAnsiTheme="minorHAnsi" w:cstheme="minorHAnsi"/>
        </w:rPr>
      </w:pPr>
    </w:p>
    <w:p w:rsidR="005046FE" w:rsidRPr="00F26252" w:rsidRDefault="005046FE" w:rsidP="005046FE">
      <w:pPr>
        <w:tabs>
          <w:tab w:val="right" w:leader="dot" w:pos="9639"/>
        </w:tabs>
        <w:rPr>
          <w:rFonts w:asciiTheme="minorHAnsi" w:hAnsiTheme="minorHAnsi" w:cstheme="minorHAnsi"/>
        </w:rPr>
      </w:pPr>
      <w:r w:rsidRPr="00F26252">
        <w:rPr>
          <w:rFonts w:asciiTheme="minorHAnsi" w:hAnsiTheme="minorHAnsi" w:cstheme="minorHAnsi"/>
        </w:rPr>
        <w:t xml:space="preserve">oświadczam że, </w:t>
      </w:r>
      <w:r w:rsidRPr="00F26252">
        <w:rPr>
          <w:rFonts w:asciiTheme="minorHAnsi" w:hAnsiTheme="minorHAnsi" w:cstheme="minorHAnsi"/>
        </w:rPr>
        <w:tab/>
        <w:t xml:space="preserve"> </w:t>
      </w:r>
    </w:p>
    <w:p w:rsidR="005046FE" w:rsidRPr="00F26252" w:rsidRDefault="005046FE" w:rsidP="005046FE">
      <w:pPr>
        <w:ind w:left="4248" w:firstLine="708"/>
        <w:rPr>
          <w:rFonts w:asciiTheme="minorHAnsi" w:hAnsiTheme="minorHAnsi" w:cstheme="minorHAnsi"/>
          <w:vertAlign w:val="superscript"/>
        </w:rPr>
      </w:pPr>
      <w:r w:rsidRPr="00F26252">
        <w:rPr>
          <w:rFonts w:asciiTheme="minorHAnsi" w:hAnsiTheme="minorHAnsi" w:cstheme="minorHAnsi"/>
          <w:vertAlign w:val="superscript"/>
        </w:rPr>
        <w:t>(pełna nazwa Wykonawcy Usługi)</w:t>
      </w:r>
    </w:p>
    <w:p w:rsidR="005046FE" w:rsidRDefault="005046FE" w:rsidP="005046FE">
      <w:pPr>
        <w:rPr>
          <w:rFonts w:ascii="Arial" w:hAnsi="Arial"/>
          <w:sz w:val="20"/>
          <w:szCs w:val="20"/>
        </w:rPr>
      </w:pPr>
    </w:p>
    <w:p w:rsidR="005046FE" w:rsidRDefault="005046FE" w:rsidP="005046FE">
      <w:pPr>
        <w:pStyle w:val="Default"/>
        <w:rPr>
          <w:sz w:val="22"/>
          <w:szCs w:val="22"/>
        </w:rPr>
      </w:pPr>
    </w:p>
    <w:p w:rsidR="006F29F4" w:rsidRPr="00F26252" w:rsidRDefault="00F26252" w:rsidP="005046FE">
      <w:pPr>
        <w:pStyle w:val="Akapitzlist"/>
        <w:numPr>
          <w:ilvl w:val="0"/>
          <w:numId w:val="1"/>
        </w:numPr>
        <w:spacing w:after="30" w:line="360" w:lineRule="auto"/>
        <w:jc w:val="both"/>
        <w:rPr>
          <w:rFonts w:eastAsia="Times New Roman" w:cs="Calibri"/>
          <w:bCs/>
          <w:lang w:eastAsia="pl-PL"/>
        </w:rPr>
      </w:pPr>
      <w:r>
        <w:rPr>
          <w:rFonts w:cs="Calibri"/>
        </w:rPr>
        <w:t>P</w:t>
      </w:r>
      <w:r w:rsidR="005046FE" w:rsidRPr="0088697B">
        <w:rPr>
          <w:rFonts w:cs="Calibri"/>
        </w:rPr>
        <w:t xml:space="preserve">osiada status jednostki </w:t>
      </w:r>
      <w:r w:rsidR="005046FE" w:rsidRPr="0007639C">
        <w:rPr>
          <w:rFonts w:cs="Calibri"/>
        </w:rPr>
        <w:t xml:space="preserve">naukowej </w:t>
      </w:r>
      <w:r w:rsidR="005046FE" w:rsidRPr="0007639C">
        <w:rPr>
          <w:rFonts w:eastAsia="Times New Roman" w:cs="Calibri"/>
          <w:bCs/>
          <w:lang w:eastAsia="pl-PL"/>
        </w:rPr>
        <w:t xml:space="preserve">rozumianej jako organizacja prowadząca badania </w:t>
      </w:r>
      <w:r>
        <w:rPr>
          <w:rFonts w:eastAsia="Times New Roman" w:cs="Calibri"/>
          <w:bCs/>
          <w:lang w:eastAsia="pl-PL"/>
        </w:rPr>
        <w:br/>
      </w:r>
      <w:r w:rsidR="005046FE" w:rsidRPr="0007639C">
        <w:rPr>
          <w:rFonts w:eastAsia="Times New Roman" w:cs="Calibri"/>
          <w:bCs/>
          <w:lang w:eastAsia="pl-PL"/>
        </w:rPr>
        <w:t xml:space="preserve">i upowszechniająca wiedzę, określona w art. 2 pkt 83 rozporządzenia Komisji (UE) nr 651/2014 [GBER] i posiadająca siedzibę na terytorium Rzeczypospolitej Polskiej, która zalicza się do jednej </w:t>
      </w:r>
      <w:r w:rsidR="005046FE" w:rsidRPr="0007639C">
        <w:t xml:space="preserve">z kategorii wymienionych w </w:t>
      </w:r>
      <w:r w:rsidR="005046FE" w:rsidRPr="0007639C">
        <w:rPr>
          <w:rFonts w:eastAsia="Times New Roman" w:cs="Calibri"/>
          <w:kern w:val="32"/>
        </w:rPr>
        <w:t xml:space="preserve">§ 6 ust. 1 </w:t>
      </w:r>
      <w:r w:rsidR="005046FE" w:rsidRPr="0007639C">
        <w:rPr>
          <w:rFonts w:eastAsia="Times New Roman" w:cs="Calibri"/>
          <w:b/>
          <w:bCs/>
          <w:kern w:val="32"/>
        </w:rPr>
        <w:t>Regulaminu</w:t>
      </w:r>
      <w:r w:rsidR="005046FE" w:rsidRPr="0088697B">
        <w:rPr>
          <w:rFonts w:eastAsia="Times New Roman" w:cs="Calibri"/>
          <w:b/>
          <w:bCs/>
          <w:kern w:val="32"/>
        </w:rPr>
        <w:t xml:space="preserve"> Przyznawania i rozliczania wsparcia w ramach projektu </w:t>
      </w:r>
      <w:r w:rsidR="005046FE" w:rsidRPr="0088697B">
        <w:rPr>
          <w:rFonts w:cs="Calibri"/>
        </w:rPr>
        <w:t>oraz odpowiedni potencjał merytoryczny i techniczny oraz doświadczenie badawcze i/lub wdrożeniowe do wykonania Usługi</w:t>
      </w:r>
      <w:r w:rsidR="006F29F4">
        <w:rPr>
          <w:rFonts w:cs="Calibri"/>
        </w:rPr>
        <w:t>.</w:t>
      </w:r>
    </w:p>
    <w:p w:rsidR="00F26252" w:rsidRPr="00F26252" w:rsidRDefault="00F26252" w:rsidP="00F26252">
      <w:pPr>
        <w:pStyle w:val="Akapitzlist"/>
        <w:numPr>
          <w:ilvl w:val="0"/>
          <w:numId w:val="1"/>
        </w:numPr>
        <w:spacing w:after="30" w:line="360" w:lineRule="auto"/>
        <w:jc w:val="both"/>
      </w:pPr>
      <w:r>
        <w:rPr>
          <w:rFonts w:cs="Calibri"/>
        </w:rPr>
        <w:t>Z</w:t>
      </w:r>
      <w:r>
        <w:t xml:space="preserve">alicza się do jednej z poniższych kategorii zgodnie z aktualnie obowiązującymi przepisami prawa w tym zakresie (zaznaczyć właściwe):  </w:t>
      </w:r>
    </w:p>
    <w:p w:rsidR="006F29F4" w:rsidRDefault="005079A8" w:rsidP="00F26252">
      <w:pPr>
        <w:pStyle w:val="Akapitzlist"/>
        <w:spacing w:after="5" w:line="259" w:lineRule="auto"/>
        <w:ind w:left="1192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6127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E6381">
        <w:rPr>
          <w:rFonts w:asciiTheme="minorHAnsi" w:hAnsiTheme="minorHAnsi" w:cstheme="minorHAnsi"/>
        </w:rPr>
        <w:t xml:space="preserve"> </w:t>
      </w:r>
      <w:r w:rsidR="006F29F4" w:rsidRPr="00F26252">
        <w:rPr>
          <w:rFonts w:asciiTheme="minorHAnsi" w:hAnsiTheme="minorHAnsi" w:cstheme="minorHAnsi"/>
        </w:rPr>
        <w:t>„organizacje prowadzące badania i upowszechniające wiedzę”, określone w art. 2 pkt 83 rozporządzenia KE (UE) nr 651/2014 uznającego niektóre rodzaje pomocy za zgodne z rynkiem wewnętrznym w zastosowaniu art. 107 i 108 Traktatu, posiadające kategorię naukową A+, A albo B przyznaną na podstawie przepisów o szk</w:t>
      </w:r>
      <w:r w:rsidR="00F26252">
        <w:rPr>
          <w:rFonts w:asciiTheme="minorHAnsi" w:hAnsiTheme="minorHAnsi" w:cstheme="minorHAnsi"/>
        </w:rPr>
        <w:t>olnictwie wyższym i nauce; lub</w:t>
      </w:r>
    </w:p>
    <w:p w:rsidR="00F26252" w:rsidRPr="00F26252" w:rsidRDefault="00F26252" w:rsidP="00F26252">
      <w:pPr>
        <w:pStyle w:val="Akapitzlist"/>
        <w:spacing w:after="5" w:line="259" w:lineRule="auto"/>
        <w:ind w:left="1192"/>
        <w:rPr>
          <w:rFonts w:asciiTheme="minorHAnsi" w:hAnsiTheme="minorHAnsi" w:cstheme="minorHAnsi"/>
        </w:rPr>
      </w:pPr>
    </w:p>
    <w:p w:rsidR="006F29F4" w:rsidRDefault="005079A8" w:rsidP="00F26252">
      <w:pPr>
        <w:spacing w:after="6"/>
        <w:ind w:left="119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559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9F4" w:rsidRPr="00F26252">
        <w:rPr>
          <w:rFonts w:asciiTheme="minorHAnsi" w:hAnsiTheme="minorHAnsi" w:cstheme="minorHAnsi"/>
        </w:rPr>
        <w:t xml:space="preserve"> spółki celowe uczelni, o których mowa w art. 149 ust. 1 ustawy z dnia 20 lipca 2018r. Prawo o szkolnictwie wyższym i nauce lub spółki celowe jednostki naukowej; lub  </w:t>
      </w:r>
    </w:p>
    <w:p w:rsidR="00F26252" w:rsidRPr="00F26252" w:rsidRDefault="00F26252" w:rsidP="00F26252">
      <w:pPr>
        <w:spacing w:after="6"/>
        <w:ind w:left="1191"/>
        <w:rPr>
          <w:rFonts w:asciiTheme="minorHAnsi" w:hAnsiTheme="minorHAnsi" w:cstheme="minorHAnsi"/>
        </w:rPr>
      </w:pPr>
    </w:p>
    <w:p w:rsidR="006F29F4" w:rsidRPr="00F26252" w:rsidRDefault="005079A8" w:rsidP="00F26252">
      <w:pPr>
        <w:spacing w:after="5"/>
        <w:ind w:left="119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7628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F29F4" w:rsidRPr="00F26252">
        <w:rPr>
          <w:rFonts w:asciiTheme="minorHAnsi" w:hAnsiTheme="minorHAnsi" w:cstheme="minorHAnsi"/>
        </w:rPr>
        <w:t xml:space="preserve"> centra transferu technologii uczelni, o których mowa w art. 148 ust. 1 ustawy Prawo</w:t>
      </w:r>
      <w:r w:rsidR="002979BB">
        <w:rPr>
          <w:rFonts w:asciiTheme="minorHAnsi" w:hAnsiTheme="minorHAnsi" w:cstheme="minorHAnsi"/>
        </w:rPr>
        <w:t xml:space="preserve"> </w:t>
      </w:r>
      <w:r w:rsidR="006F29F4" w:rsidRPr="00F26252">
        <w:rPr>
          <w:rFonts w:asciiTheme="minorHAnsi" w:hAnsiTheme="minorHAnsi" w:cstheme="minorHAnsi"/>
        </w:rPr>
        <w:t xml:space="preserve">o szkolnictwie wyższym i nauce; lub  </w:t>
      </w:r>
    </w:p>
    <w:p w:rsidR="006F29F4" w:rsidRDefault="005079A8" w:rsidP="00F26252">
      <w:pPr>
        <w:spacing w:after="5" w:line="259" w:lineRule="auto"/>
        <w:ind w:left="1192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 w:hint="eastAsia"/>
          </w:rPr>
          <w:id w:val="-927497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79BB">
        <w:rPr>
          <w:rFonts w:ascii="MS Gothic" w:eastAsia="MS Gothic" w:hAnsi="MS Gothic" w:cstheme="minorHAnsi" w:hint="eastAsia"/>
        </w:rPr>
        <w:t xml:space="preserve"> </w:t>
      </w:r>
      <w:r w:rsidR="006F29F4" w:rsidRPr="00F26252">
        <w:rPr>
          <w:rFonts w:asciiTheme="minorHAnsi" w:hAnsiTheme="minorHAnsi" w:cstheme="minorHAnsi"/>
        </w:rPr>
        <w:t>przedsiębiorcy posiadający status centrum badawczo-rozwojowego, o którym mowa w art. 17 ust. 1 ustawy z dnia 30 maja 2008 r. o niektórych formach wspierania</w:t>
      </w:r>
      <w:r w:rsidR="000B018E">
        <w:rPr>
          <w:rFonts w:asciiTheme="minorHAnsi" w:hAnsiTheme="minorHAnsi" w:cstheme="minorHAnsi"/>
        </w:rPr>
        <w:t xml:space="preserve"> </w:t>
      </w:r>
      <w:r w:rsidR="006F29F4" w:rsidRPr="00F26252">
        <w:rPr>
          <w:rFonts w:asciiTheme="minorHAnsi" w:hAnsiTheme="minorHAnsi" w:cstheme="minorHAnsi"/>
        </w:rPr>
        <w:t xml:space="preserve">działalności innowacyjnej; lub  </w:t>
      </w:r>
    </w:p>
    <w:p w:rsidR="00F26252" w:rsidRPr="00F26252" w:rsidRDefault="00F26252" w:rsidP="00F26252">
      <w:pPr>
        <w:spacing w:after="5" w:line="259" w:lineRule="auto"/>
        <w:ind w:left="1192"/>
        <w:rPr>
          <w:rFonts w:asciiTheme="minorHAnsi" w:hAnsiTheme="minorHAnsi" w:cstheme="minorHAnsi"/>
        </w:rPr>
      </w:pPr>
    </w:p>
    <w:p w:rsidR="006F29F4" w:rsidRPr="00F26252" w:rsidRDefault="005079A8" w:rsidP="00F26252">
      <w:pPr>
        <w:ind w:left="1191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23378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2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79BB">
        <w:rPr>
          <w:rFonts w:ascii="MS Gothic" w:eastAsia="MS Gothic" w:hAnsi="MS Gothic" w:cstheme="minorHAnsi" w:hint="eastAsia"/>
        </w:rPr>
        <w:t xml:space="preserve"> </w:t>
      </w:r>
      <w:r w:rsidR="006F29F4" w:rsidRPr="00F26252">
        <w:rPr>
          <w:rFonts w:asciiTheme="minorHAnsi" w:hAnsiTheme="minorHAnsi" w:cstheme="minorHAnsi"/>
        </w:rPr>
        <w:t xml:space="preserve">akredytowane laboratoria (posiadające akredytację Polskiego Centrum Akredytacji) lub notyfikowane laboratoria przez podmioty, o których mowa w art. 21 ust. 1 ustawy </w:t>
      </w:r>
      <w:r w:rsidR="000B018E">
        <w:rPr>
          <w:rFonts w:asciiTheme="minorHAnsi" w:hAnsiTheme="minorHAnsi" w:cstheme="minorHAnsi"/>
        </w:rPr>
        <w:br/>
      </w:r>
      <w:r w:rsidR="006F29F4" w:rsidRPr="00F26252">
        <w:rPr>
          <w:rFonts w:asciiTheme="minorHAnsi" w:hAnsiTheme="minorHAnsi" w:cstheme="minorHAnsi"/>
        </w:rPr>
        <w:t xml:space="preserve">z dnia 30 sierpnia 2002 r. o systemie oceny zgodności; lub  </w:t>
      </w:r>
    </w:p>
    <w:p w:rsidR="006F29F4" w:rsidRPr="00F26252" w:rsidRDefault="006F29F4" w:rsidP="00F26252">
      <w:pPr>
        <w:ind w:left="1334"/>
        <w:rPr>
          <w:rFonts w:asciiTheme="minorHAnsi" w:hAnsiTheme="minorHAnsi" w:cstheme="minorHAnsi"/>
        </w:rPr>
      </w:pPr>
    </w:p>
    <w:p w:rsidR="006F29F4" w:rsidRPr="00F26252" w:rsidRDefault="005079A8" w:rsidP="00F26252">
      <w:pPr>
        <w:ind w:left="1192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 w:hint="eastAsia"/>
          </w:rPr>
          <w:id w:val="-1680816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38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979BB">
        <w:rPr>
          <w:rFonts w:ascii="MS Gothic" w:eastAsia="MS Gothic" w:hAnsi="MS Gothic" w:cstheme="minorHAnsi" w:hint="eastAsia"/>
        </w:rPr>
        <w:t xml:space="preserve"> </w:t>
      </w:r>
      <w:r w:rsidR="006F29F4" w:rsidRPr="00F26252">
        <w:rPr>
          <w:rFonts w:asciiTheme="minorHAnsi" w:hAnsiTheme="minorHAnsi" w:cstheme="minorHAnsi"/>
        </w:rPr>
        <w:t xml:space="preserve">Sieć Badawcza Łukasiewicz, o której mowa w art. 1 ust. 1 ustawy z dnia 21 lutego 2019 r. o Sieci Badawczej Łukasiewicz. </w:t>
      </w:r>
    </w:p>
    <w:p w:rsidR="006F29F4" w:rsidRPr="0088697B" w:rsidRDefault="006F29F4" w:rsidP="00F26252">
      <w:pPr>
        <w:pStyle w:val="Akapitzlist"/>
        <w:spacing w:after="30" w:line="360" w:lineRule="auto"/>
        <w:jc w:val="both"/>
        <w:rPr>
          <w:rFonts w:eastAsia="Times New Roman" w:cs="Calibri"/>
          <w:bCs/>
          <w:lang w:eastAsia="pl-PL"/>
        </w:rPr>
      </w:pPr>
    </w:p>
    <w:p w:rsidR="005046FE" w:rsidRDefault="000B018E" w:rsidP="005046FE">
      <w:pPr>
        <w:pStyle w:val="Akapitzlist"/>
        <w:numPr>
          <w:ilvl w:val="0"/>
          <w:numId w:val="1"/>
        </w:numPr>
        <w:spacing w:line="360" w:lineRule="auto"/>
      </w:pPr>
      <w:r>
        <w:t>N</w:t>
      </w:r>
      <w:r w:rsidR="005046FE">
        <w:t>ie jest osobowo lub kapitałowo powiązany z Grantobiorcą w sposób wynikający z treści Załącznika I do Rozporządzenia Komisji (WE) nr 651/2</w:t>
      </w:r>
      <w:r>
        <w:t>014 z dnia 17 czerwca 2014 roku.</w:t>
      </w:r>
    </w:p>
    <w:p w:rsidR="005046FE" w:rsidRPr="0088697B" w:rsidRDefault="000B018E" w:rsidP="005046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cs="Calibri"/>
        </w:rPr>
      </w:pPr>
      <w:r>
        <w:rPr>
          <w:rFonts w:cs="Calibri"/>
        </w:rPr>
        <w:t>W</w:t>
      </w:r>
      <w:r w:rsidR="005046FE" w:rsidRPr="00E57CC1">
        <w:rPr>
          <w:rFonts w:cs="Calibri"/>
        </w:rPr>
        <w:t xml:space="preserve"> przypadku podpisania umowy o powierzeniu grantu, zrealizuje Usługę w zakresie przedstawionym we Wniosku o grant, w szczególności w kontekśc</w:t>
      </w:r>
      <w:r w:rsidR="005046FE">
        <w:rPr>
          <w:rFonts w:cs="Calibri"/>
        </w:rPr>
        <w:t>ie założeń opisanych w częś</w:t>
      </w:r>
      <w:r w:rsidR="005046FE" w:rsidRPr="0088697B">
        <w:rPr>
          <w:rFonts w:cs="Calibri"/>
        </w:rPr>
        <w:t xml:space="preserve">ci F Wniosku o grant, otrzymując z tego tytułu wynagrodzenie, o którym </w:t>
      </w:r>
      <w:r>
        <w:rPr>
          <w:rFonts w:cs="Calibri"/>
        </w:rPr>
        <w:t xml:space="preserve">mowa w części </w:t>
      </w:r>
      <w:r>
        <w:rPr>
          <w:rFonts w:cs="Calibri"/>
        </w:rPr>
        <w:br/>
        <w:t>H Wniosku o grant.</w:t>
      </w:r>
    </w:p>
    <w:p w:rsidR="005046FE" w:rsidRDefault="000B018E" w:rsidP="005046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P</w:t>
      </w:r>
      <w:r w:rsidR="005046FE">
        <w:rPr>
          <w:rFonts w:cs="Calibri"/>
        </w:rPr>
        <w:t xml:space="preserve">rzekaże </w:t>
      </w:r>
      <w:proofErr w:type="spellStart"/>
      <w:r>
        <w:rPr>
          <w:rFonts w:cs="Calibri"/>
        </w:rPr>
        <w:t>Grantobiorcy</w:t>
      </w:r>
      <w:proofErr w:type="spellEnd"/>
      <w:r w:rsidR="005046FE">
        <w:rPr>
          <w:rFonts w:cs="Calibri"/>
        </w:rPr>
        <w:t xml:space="preserve"> wszelkie prawa do wyników uzysk</w:t>
      </w:r>
      <w:r>
        <w:rPr>
          <w:rFonts w:cs="Calibri"/>
        </w:rPr>
        <w:t>anych podczas realizacji Usługi.</w:t>
      </w:r>
    </w:p>
    <w:p w:rsidR="005046FE" w:rsidRDefault="000B018E" w:rsidP="005046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5046FE">
        <w:rPr>
          <w:rFonts w:cs="Calibri"/>
        </w:rPr>
        <w:t xml:space="preserve"> przypadku, gdy nie zrealizuje lub zrealizuje w sposób niezgodny z zasadami Regulaminu Projektu „</w:t>
      </w:r>
      <w:r w:rsidR="005046FE" w:rsidRPr="00383440">
        <w:rPr>
          <w:rFonts w:cs="Calibri"/>
        </w:rPr>
        <w:t>BON NA INNOWACJE. INNOWACYJNOŚĆ=KONKURENCYJNOŚĆ. II EDYCJA. BONY NA INNOWACJE PROCESOWE I PRODUKTOWE DLA DOLNOŚLĄSKICH PRZEDSIĘBIORSTW</w:t>
      </w:r>
      <w:r w:rsidR="005046FE" w:rsidRPr="00383440" w:rsidDel="00383440">
        <w:rPr>
          <w:rFonts w:cs="Calibri"/>
        </w:rPr>
        <w:t xml:space="preserve"> </w:t>
      </w:r>
      <w:r w:rsidR="005046FE">
        <w:rPr>
          <w:rFonts w:cs="Calibri"/>
        </w:rPr>
        <w:t>” Usługi przedstawionej we Wniosku o grant, ureguluje wszelkie</w:t>
      </w:r>
      <w:r>
        <w:rPr>
          <w:rFonts w:cs="Calibri"/>
        </w:rPr>
        <w:t xml:space="preserve"> zobowiązania wobec Stron Umowy.</w:t>
      </w:r>
    </w:p>
    <w:p w:rsidR="005046FE" w:rsidRDefault="000B018E" w:rsidP="005046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U</w:t>
      </w:r>
      <w:r w:rsidR="005046FE">
        <w:rPr>
          <w:rFonts w:cs="Calibri"/>
        </w:rPr>
        <w:t>sługa nie obejmuje rutynowych i okresowych zmian wprowadzanych do produktów, linii produkcyjnych, procesów wytwórczych, istniejących usług oraz innych operacji w toku, nawet jeżeli takie zmiany mają charakter ulepszeń. Usługa ta nie stanowi usługi typowej, powszechnie dostępnej na rynku. Usługa ta jest ukierunkowana na uzyskanie inno</w:t>
      </w:r>
      <w:r>
        <w:rPr>
          <w:rFonts w:cs="Calibri"/>
        </w:rPr>
        <w:t>wacyjnych efektów wdrożeniowych.</w:t>
      </w:r>
    </w:p>
    <w:p w:rsidR="005079A8" w:rsidRDefault="005079A8" w:rsidP="005079A8">
      <w:pPr>
        <w:spacing w:before="100" w:beforeAutospacing="1" w:after="100" w:afterAutospacing="1" w:line="360" w:lineRule="auto"/>
        <w:jc w:val="both"/>
        <w:rPr>
          <w:rFonts w:cs="Calibri"/>
        </w:rPr>
      </w:pPr>
    </w:p>
    <w:p w:rsidR="005079A8" w:rsidRPr="005079A8" w:rsidRDefault="005079A8" w:rsidP="005079A8">
      <w:pPr>
        <w:spacing w:before="100" w:beforeAutospacing="1" w:after="100" w:afterAutospacing="1" w:line="360" w:lineRule="auto"/>
        <w:jc w:val="both"/>
        <w:rPr>
          <w:rFonts w:cs="Calibri"/>
        </w:rPr>
      </w:pPr>
      <w:bookmarkStart w:id="0" w:name="_GoBack"/>
      <w:bookmarkEnd w:id="0"/>
    </w:p>
    <w:p w:rsidR="005046FE" w:rsidRDefault="000B018E" w:rsidP="005046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lastRenderedPageBreak/>
        <w:t>Z</w:t>
      </w:r>
      <w:r w:rsidR="005046FE">
        <w:rPr>
          <w:rFonts w:cs="Calibri"/>
        </w:rPr>
        <w:t>apoznałem się z warunkami udzielenia i rozliczania wsparcia w ramach Pr</w:t>
      </w:r>
      <w:r>
        <w:rPr>
          <w:rFonts w:cs="Calibri"/>
        </w:rPr>
        <w:t>ojektu i akceptuję jego warunki.</w:t>
      </w:r>
    </w:p>
    <w:p w:rsidR="005046FE" w:rsidRDefault="000B018E" w:rsidP="005046F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contextualSpacing w:val="0"/>
        <w:jc w:val="both"/>
        <w:rPr>
          <w:rFonts w:cs="Calibri"/>
        </w:rPr>
      </w:pPr>
      <w:r>
        <w:rPr>
          <w:rFonts w:cs="Calibri"/>
        </w:rPr>
        <w:t>W</w:t>
      </w:r>
      <w:r w:rsidR="005046FE">
        <w:rPr>
          <w:rFonts w:cs="Calibri"/>
        </w:rPr>
        <w:t>szelkie roszczenia z tytułu wynagrodzenia za wykonaną Usługę w przypadku nie zrealizowania przez Grantobiorcę prawidłowo zobowiązań zawartych w umowie z Grantodawcą będą kierował do Grantobiorcy.</w:t>
      </w:r>
    </w:p>
    <w:p w:rsidR="005046FE" w:rsidRDefault="005046FE" w:rsidP="005046FE">
      <w:pPr>
        <w:tabs>
          <w:tab w:val="right" w:leader="dot" w:pos="9072"/>
        </w:tabs>
        <w:autoSpaceDE w:val="0"/>
        <w:autoSpaceDN w:val="0"/>
        <w:adjustRightInd w:val="0"/>
        <w:ind w:left="5812"/>
        <w:jc w:val="right"/>
        <w:rPr>
          <w:rFonts w:cs="Calibri"/>
        </w:rPr>
      </w:pPr>
    </w:p>
    <w:p w:rsidR="005046FE" w:rsidRDefault="005046FE" w:rsidP="005046FE">
      <w:pPr>
        <w:tabs>
          <w:tab w:val="right" w:leader="dot" w:pos="9072"/>
        </w:tabs>
        <w:autoSpaceDE w:val="0"/>
        <w:autoSpaceDN w:val="0"/>
        <w:adjustRightInd w:val="0"/>
        <w:ind w:left="5812"/>
        <w:jc w:val="right"/>
        <w:rPr>
          <w:rFonts w:cs="Calibri"/>
        </w:rPr>
      </w:pPr>
    </w:p>
    <w:p w:rsidR="005046FE" w:rsidRDefault="005046FE" w:rsidP="005046FE">
      <w:pPr>
        <w:tabs>
          <w:tab w:val="right" w:leader="dot" w:pos="9072"/>
        </w:tabs>
        <w:autoSpaceDE w:val="0"/>
        <w:autoSpaceDN w:val="0"/>
        <w:adjustRightInd w:val="0"/>
        <w:ind w:left="5812"/>
        <w:jc w:val="right"/>
        <w:rPr>
          <w:rFonts w:cs="Calibri"/>
        </w:rPr>
      </w:pPr>
    </w:p>
    <w:p w:rsidR="005046FE" w:rsidRDefault="005046FE" w:rsidP="005046FE">
      <w:pPr>
        <w:tabs>
          <w:tab w:val="right" w:leader="dot" w:pos="9072"/>
        </w:tabs>
        <w:autoSpaceDE w:val="0"/>
        <w:autoSpaceDN w:val="0"/>
        <w:adjustRightInd w:val="0"/>
        <w:ind w:left="5812"/>
        <w:jc w:val="right"/>
        <w:rPr>
          <w:rFonts w:cs="Calibri"/>
        </w:rPr>
      </w:pPr>
    </w:p>
    <w:p w:rsidR="005046FE" w:rsidRDefault="005046FE" w:rsidP="005046FE">
      <w:pPr>
        <w:tabs>
          <w:tab w:val="right" w:leader="dot" w:pos="9072"/>
        </w:tabs>
        <w:autoSpaceDE w:val="0"/>
        <w:autoSpaceDN w:val="0"/>
        <w:adjustRightInd w:val="0"/>
        <w:ind w:left="5812"/>
        <w:jc w:val="right"/>
        <w:rPr>
          <w:rFonts w:cs="Calibri"/>
        </w:rPr>
      </w:pPr>
      <w:r>
        <w:rPr>
          <w:rFonts w:cs="Calibri"/>
        </w:rPr>
        <w:tab/>
      </w:r>
    </w:p>
    <w:p w:rsidR="005046FE" w:rsidRDefault="005046FE" w:rsidP="005046FE">
      <w:pPr>
        <w:autoSpaceDE w:val="0"/>
        <w:autoSpaceDN w:val="0"/>
        <w:adjustRightInd w:val="0"/>
        <w:ind w:left="6521"/>
        <w:rPr>
          <w:rFonts w:cs="Calibri"/>
          <w:vertAlign w:val="superscript"/>
        </w:rPr>
      </w:pPr>
      <w:r>
        <w:rPr>
          <w:rFonts w:cs="Calibri"/>
          <w:color w:val="231F20"/>
          <w:vertAlign w:val="superscript"/>
        </w:rPr>
        <w:t>Podpis oraz pieczęć imienna lub firmowa Wykonawcy</w:t>
      </w:r>
    </w:p>
    <w:sectPr w:rsidR="005046FE" w:rsidSect="00F26252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16" w:rsidRDefault="002B5016" w:rsidP="00830234">
      <w:r>
        <w:separator/>
      </w:r>
    </w:p>
  </w:endnote>
  <w:endnote w:type="continuationSeparator" w:id="0">
    <w:p w:rsidR="002B5016" w:rsidRDefault="002B5016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16" w:rsidRDefault="002979BB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-860425</wp:posOffset>
          </wp:positionH>
          <wp:positionV relativeFrom="margin">
            <wp:posOffset>7539355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146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16" w:rsidRDefault="002B5016" w:rsidP="00830234">
      <w:r>
        <w:separator/>
      </w:r>
    </w:p>
  </w:footnote>
  <w:footnote w:type="continuationSeparator" w:id="0">
    <w:p w:rsidR="002B5016" w:rsidRDefault="002B5016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016" w:rsidRDefault="002979BB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21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F72"/>
    <w:multiLevelType w:val="multilevel"/>
    <w:tmpl w:val="4C769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76" w:hanging="1440"/>
      </w:pPr>
      <w:rPr>
        <w:rFonts w:hint="default"/>
      </w:rPr>
    </w:lvl>
  </w:abstractNum>
  <w:abstractNum w:abstractNumId="1" w15:restartNumberingAfterBreak="0">
    <w:nsid w:val="4B3F0006"/>
    <w:multiLevelType w:val="multilevel"/>
    <w:tmpl w:val="05C2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56" w:hanging="1440"/>
      </w:pPr>
      <w:rPr>
        <w:rFonts w:hint="default"/>
      </w:rPr>
    </w:lvl>
  </w:abstractNum>
  <w:abstractNum w:abstractNumId="2" w15:restartNumberingAfterBreak="0">
    <w:nsid w:val="676439BB"/>
    <w:multiLevelType w:val="multilevel"/>
    <w:tmpl w:val="06C06A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76" w:hanging="1440"/>
      </w:pPr>
      <w:rPr>
        <w:rFonts w:hint="default"/>
      </w:rPr>
    </w:lvl>
  </w:abstractNum>
  <w:abstractNum w:abstractNumId="3" w15:restartNumberingAfterBreak="0">
    <w:nsid w:val="73E86CF2"/>
    <w:multiLevelType w:val="multilevel"/>
    <w:tmpl w:val="7FEC040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CB909C8"/>
    <w:multiLevelType w:val="hybridMultilevel"/>
    <w:tmpl w:val="01E033F2"/>
    <w:lvl w:ilvl="0" w:tplc="0C685E7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B018E"/>
    <w:rsid w:val="000C0094"/>
    <w:rsid w:val="000F516B"/>
    <w:rsid w:val="00120780"/>
    <w:rsid w:val="002979BB"/>
    <w:rsid w:val="002B5016"/>
    <w:rsid w:val="002E15C0"/>
    <w:rsid w:val="003944FE"/>
    <w:rsid w:val="00453180"/>
    <w:rsid w:val="005046FE"/>
    <w:rsid w:val="005079A8"/>
    <w:rsid w:val="00612B56"/>
    <w:rsid w:val="006F29F4"/>
    <w:rsid w:val="007D3BDE"/>
    <w:rsid w:val="007E6917"/>
    <w:rsid w:val="008209EF"/>
    <w:rsid w:val="00830234"/>
    <w:rsid w:val="00961D75"/>
    <w:rsid w:val="00A55A79"/>
    <w:rsid w:val="00AF7531"/>
    <w:rsid w:val="00BB36BE"/>
    <w:rsid w:val="00C14426"/>
    <w:rsid w:val="00C914E8"/>
    <w:rsid w:val="00CE6381"/>
    <w:rsid w:val="00D53C21"/>
    <w:rsid w:val="00D747B5"/>
    <w:rsid w:val="00DE24FF"/>
    <w:rsid w:val="00F26252"/>
    <w:rsid w:val="00F52BC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04045C3E"/>
  <w15:chartTrackingRefBased/>
  <w15:docId w15:val="{53FA26FC-1D78-4E11-9802-6A9BD1A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styleId="Tytuksiki">
    <w:name w:val="Book Title"/>
    <w:uiPriority w:val="33"/>
    <w:qFormat/>
    <w:rsid w:val="005046FE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5046FE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046F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04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6FE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5046F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B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3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4</cp:revision>
  <dcterms:created xsi:type="dcterms:W3CDTF">2022-04-21T09:26:00Z</dcterms:created>
  <dcterms:modified xsi:type="dcterms:W3CDTF">2022-04-21T12:06:00Z</dcterms:modified>
</cp:coreProperties>
</file>